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5E" w:rsidRDefault="004E495E" w:rsidP="00151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400040" cy="1159692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5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6D1" w:rsidRPr="001516D1" w:rsidRDefault="004E495E" w:rsidP="004E4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134620</wp:posOffset>
            </wp:positionV>
            <wp:extent cx="3968115" cy="3381375"/>
            <wp:effectExtent l="1905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6D1" w:rsidRPr="001516D1">
        <w:rPr>
          <w:rFonts w:ascii="Times New Roman" w:eastAsia="Times New Roman" w:hAnsi="Times New Roman" w:cs="Times New Roman"/>
          <w:sz w:val="24"/>
          <w:szCs w:val="24"/>
          <w:lang w:eastAsia="es-ES"/>
        </w:rPr>
        <w:t>«Los cristianos hemos celebrado, la Pasión y Muerte de Ntro. Señor Jesucristo. El Viernes Santo recordamos a Cristo yacente muerto sobre el lecho de su Madre dolorosa. Pero si Cristo no hubiera resucitado nada tendría sentido, ni nuestra propia vida, ni tampoco tendría sentido que fuéramos cristianos.</w:t>
      </w:r>
    </w:p>
    <w:p w:rsidR="001516D1" w:rsidRPr="001516D1" w:rsidRDefault="001516D1" w:rsidP="004E4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16D1">
        <w:rPr>
          <w:rFonts w:ascii="Times New Roman" w:eastAsia="Times New Roman" w:hAnsi="Times New Roman" w:cs="Times New Roman"/>
          <w:sz w:val="24"/>
          <w:szCs w:val="24"/>
          <w:lang w:eastAsia="es-ES"/>
        </w:rPr>
        <w:t>Cristo resucitó y con la Iglesia hemos celebrado la Pascua, la cincuentena pascual que termina en Pentecostés. Y el Domingo de Resurrección ponemos colofón con la promesa de Cristo hecha realidad en la Eucaristía gracias a la acción del Espíritu Santo: “Estaré con vosotros hasta el fin de los tiempos. Haced esto en memoria mía”. </w:t>
      </w:r>
    </w:p>
    <w:p w:rsidR="001516D1" w:rsidRPr="001516D1" w:rsidRDefault="001516D1" w:rsidP="004E4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16D1">
        <w:rPr>
          <w:rFonts w:ascii="Times New Roman" w:eastAsia="Times New Roman" w:hAnsi="Times New Roman" w:cs="Times New Roman"/>
          <w:sz w:val="24"/>
          <w:szCs w:val="24"/>
          <w:lang w:eastAsia="es-ES"/>
        </w:rPr>
        <w:t>Los discípulos experimentan un encuentro personal con Cristo resucitado. Ésta es la experiencia fundamental para todo cristiano, Jesús vive y está de nuevo con nosotros. Recuperan a Jesús como alguien que vive y viene a su encuentro. El resucitado les ofrece la posibilidad de iniciar un nuevo modo de existencia. Como afirma San Pablo al hablarnos de su experiencia pascual (</w:t>
      </w:r>
      <w:proofErr w:type="spellStart"/>
      <w:r w:rsidRPr="001516D1">
        <w:rPr>
          <w:rFonts w:ascii="Times New Roman" w:eastAsia="Times New Roman" w:hAnsi="Times New Roman" w:cs="Times New Roman"/>
          <w:sz w:val="24"/>
          <w:szCs w:val="24"/>
          <w:lang w:eastAsia="es-ES"/>
        </w:rPr>
        <w:t>Flp</w:t>
      </w:r>
      <w:proofErr w:type="spellEnd"/>
      <w:r w:rsidRPr="001516D1">
        <w:rPr>
          <w:rFonts w:ascii="Times New Roman" w:eastAsia="Times New Roman" w:hAnsi="Times New Roman" w:cs="Times New Roman"/>
          <w:sz w:val="24"/>
          <w:szCs w:val="24"/>
          <w:lang w:eastAsia="es-ES"/>
        </w:rPr>
        <w:t>. 3,12), se trata de dejarnos ser alcanzados por Jesucristo. </w:t>
      </w:r>
    </w:p>
    <w:p w:rsidR="001516D1" w:rsidRPr="001516D1" w:rsidRDefault="001516D1" w:rsidP="004E4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16D1">
        <w:rPr>
          <w:rFonts w:ascii="Times New Roman" w:eastAsia="Times New Roman" w:hAnsi="Times New Roman" w:cs="Times New Roman"/>
          <w:sz w:val="24"/>
          <w:szCs w:val="24"/>
          <w:lang w:eastAsia="es-ES"/>
        </w:rPr>
        <w:t>Para los primeros creyentes Cristo es alguien que vive, que anima, vivifica y llena con su espíritu a la comunidad: “Sabed que Yo estoy con vosotros todos los días hasta el fin del mundo”. </w:t>
      </w:r>
    </w:p>
    <w:p w:rsidR="001516D1" w:rsidRPr="001516D1" w:rsidRDefault="001516D1" w:rsidP="004E4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16D1">
        <w:rPr>
          <w:rFonts w:ascii="Times New Roman" w:eastAsia="Times New Roman" w:hAnsi="Times New Roman" w:cs="Times New Roman"/>
          <w:sz w:val="24"/>
          <w:szCs w:val="24"/>
          <w:lang w:eastAsia="es-ES"/>
        </w:rPr>
        <w:t>La actividad salvadora de Jesús no ha terminado con su muerte. Aquél que perdonaba a los pecadores, hoy sigue perdonando. Aquél que llamaba al seguimiento, hoy nos sigue llamando. Aquél que se acercaba a los pobres, hoy está en los pequeños y necesitados. Jesús no es algo acabado. Su historia se sigue escribiendo en nosotros y con nosotros»</w:t>
      </w:r>
    </w:p>
    <w:p w:rsidR="00A807B2" w:rsidRDefault="005247B4" w:rsidP="00A807B2">
      <w:pPr>
        <w:jc w:val="both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05pt;height:23.05pt" fillcolor="#369" stroked="f">
            <v:shadow on="t" color="#b2b2b2" opacity="52429f" offset="3pt"/>
            <v:textpath style="font-family:&quot;Times New Roman&quot;;font-size:20pt;v-text-kern:t" trim="t" fitpath="t" string="Vialucis: LA LUZ DE LA RESURRECCIÓN"/>
          </v:shape>
        </w:pict>
      </w:r>
    </w:p>
    <w:p w:rsidR="00A807B2" w:rsidRPr="00A807B2" w:rsidRDefault="00A807B2" w:rsidP="00A807B2">
      <w:pPr>
        <w:autoSpaceDE w:val="0"/>
        <w:autoSpaceDN w:val="0"/>
        <w:adjustRightInd w:val="0"/>
        <w:spacing w:after="0" w:line="240" w:lineRule="auto"/>
        <w:jc w:val="both"/>
        <w:rPr>
          <w:rFonts w:ascii="FrugalSans-Bold" w:hAnsi="FrugalSans-Bold" w:cs="FrugalSans-Bold"/>
          <w:b/>
          <w:bCs/>
          <w:sz w:val="24"/>
          <w:szCs w:val="24"/>
        </w:rPr>
      </w:pPr>
      <w:r w:rsidRPr="00A807B2">
        <w:rPr>
          <w:rFonts w:ascii="FrugalSans-Bold" w:hAnsi="FrugalSans-Bold" w:cs="FrugalSans-Bold"/>
          <w:b/>
          <w:bCs/>
          <w:sz w:val="24"/>
          <w:szCs w:val="24"/>
        </w:rPr>
        <w:t>Introducción</w:t>
      </w:r>
    </w:p>
    <w:p w:rsidR="00A807B2" w:rsidRPr="00A807B2" w:rsidRDefault="00A807B2" w:rsidP="00A807B2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</w:rPr>
      </w:pPr>
      <w:r w:rsidRPr="00A807B2">
        <w:rPr>
          <w:rFonts w:ascii="FrugalSans-Light" w:hAnsi="FrugalSans-Light" w:cs="FrugalSans-Light"/>
        </w:rPr>
        <w:t>La luz es el símbolo del amanecer; de la vida que renace cada mañana. Ella nos trae la seguridad y disipa las tinieblas.</w:t>
      </w:r>
    </w:p>
    <w:p w:rsidR="00A807B2" w:rsidRPr="00A807B2" w:rsidRDefault="00A807B2" w:rsidP="00A807B2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</w:rPr>
      </w:pPr>
      <w:r w:rsidRPr="00A807B2">
        <w:rPr>
          <w:rFonts w:ascii="FrugalSans-Light" w:hAnsi="FrugalSans-Light" w:cs="FrugalSans-Light"/>
        </w:rPr>
        <w:t>Para los cristianos la luz es símbolo de Cristo resucitado, vencedor del mal y la muerte. Por ello el cirio pascual preside las celebraciones de Pascua.</w:t>
      </w:r>
    </w:p>
    <w:p w:rsidR="00A807B2" w:rsidRDefault="00A807B2" w:rsidP="00A807B2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</w:rPr>
      </w:pPr>
      <w:r w:rsidRPr="00A807B2">
        <w:rPr>
          <w:rFonts w:ascii="FrugalSans-Light" w:hAnsi="FrugalSans-Light" w:cs="FrugalSans-Light"/>
        </w:rPr>
        <w:t>Mediante el simbolismo de la luz nos introduciremos en una oración presidida por la luz, símbolo de Cristo resucitado y nos comprometeremos a ser luz del mundo.</w:t>
      </w:r>
    </w:p>
    <w:p w:rsidR="00A807B2" w:rsidRDefault="00A807B2" w:rsidP="00A807B2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</w:rPr>
      </w:pPr>
    </w:p>
    <w:p w:rsidR="00A807B2" w:rsidRPr="00A807B2" w:rsidRDefault="00A807B2" w:rsidP="00A807B2">
      <w:pPr>
        <w:autoSpaceDE w:val="0"/>
        <w:autoSpaceDN w:val="0"/>
        <w:adjustRightInd w:val="0"/>
        <w:spacing w:after="0" w:line="240" w:lineRule="auto"/>
        <w:rPr>
          <w:rFonts w:ascii="FrugalSans-Bold" w:hAnsi="FrugalSans-Bold" w:cs="FrugalSans-Bold"/>
          <w:b/>
          <w:bCs/>
        </w:rPr>
      </w:pPr>
      <w:r w:rsidRPr="00A807B2">
        <w:rPr>
          <w:rFonts w:ascii="FrugalSans-Bold" w:hAnsi="FrugalSans-Bold" w:cs="FrugalSans-Bold"/>
          <w:b/>
          <w:bCs/>
        </w:rPr>
        <w:t>Materiales necesarios</w:t>
      </w:r>
    </w:p>
    <w:p w:rsidR="00A807B2" w:rsidRDefault="00A807B2" w:rsidP="00A807B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. Velas o linternas. (Una por cada grupo).</w:t>
      </w:r>
    </w:p>
    <w:p w:rsidR="00A807B2" w:rsidRDefault="00A807B2" w:rsidP="00A807B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 xml:space="preserve">. Cartulina de </w:t>
      </w:r>
      <w:proofErr w:type="gramStart"/>
      <w:r>
        <w:rPr>
          <w:rFonts w:ascii="FrugalSans-Light" w:hAnsi="FrugalSans-Light" w:cs="FrugalSans-Light"/>
          <w:color w:val="231F20"/>
        </w:rPr>
        <w:t>color negro divididas</w:t>
      </w:r>
      <w:proofErr w:type="gramEnd"/>
      <w:r>
        <w:rPr>
          <w:rFonts w:ascii="FrugalSans-Light" w:hAnsi="FrugalSans-Light" w:cs="FrugalSans-Light"/>
          <w:color w:val="231F20"/>
        </w:rPr>
        <w:t xml:space="preserve"> por la mitad.</w:t>
      </w:r>
    </w:p>
    <w:p w:rsidR="00A807B2" w:rsidRDefault="00A807B2" w:rsidP="00A807B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. Papel de celofán de varios colores.</w:t>
      </w:r>
    </w:p>
    <w:p w:rsidR="00A807B2" w:rsidRDefault="00A807B2" w:rsidP="00A807B2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. Pegamento y tijeras por cada su grupo.</w:t>
      </w:r>
    </w:p>
    <w:p w:rsidR="00A807B2" w:rsidRDefault="00A807B2" w:rsidP="00A807B2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  <w:color w:val="231F20"/>
        </w:rPr>
      </w:pPr>
    </w:p>
    <w:p w:rsidR="00A807B2" w:rsidRPr="006813F1" w:rsidRDefault="00A807B2" w:rsidP="00A807B2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  <w:color w:val="231F20"/>
          <w:sz w:val="28"/>
          <w:szCs w:val="28"/>
        </w:rPr>
      </w:pPr>
      <w:r w:rsidRPr="006813F1">
        <w:rPr>
          <w:rFonts w:ascii="FrugalSans-Light" w:hAnsi="FrugalSans-Light" w:cs="FrugalSans-Light"/>
          <w:b/>
          <w:color w:val="231F20"/>
          <w:sz w:val="28"/>
          <w:szCs w:val="28"/>
        </w:rPr>
        <w:t>Dinámica</w:t>
      </w:r>
    </w:p>
    <w:p w:rsidR="00A807B2" w:rsidRDefault="00A807B2" w:rsidP="00CC46DA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 xml:space="preserve">Proyectamos </w:t>
      </w:r>
      <w:r w:rsidR="006548BF">
        <w:rPr>
          <w:rFonts w:ascii="FrugalSans-Light" w:hAnsi="FrugalSans-Light" w:cs="FrugalSans-Light"/>
          <w:color w:val="231F20"/>
        </w:rPr>
        <w:t xml:space="preserve">la presentación del </w:t>
      </w:r>
      <w:proofErr w:type="spellStart"/>
      <w:r w:rsidR="006548BF">
        <w:rPr>
          <w:rFonts w:ascii="FrugalSans-Light" w:hAnsi="FrugalSans-Light" w:cs="FrugalSans-Light"/>
          <w:color w:val="231F20"/>
        </w:rPr>
        <w:t>Vialucis</w:t>
      </w:r>
      <w:proofErr w:type="spellEnd"/>
    </w:p>
    <w:p w:rsidR="006548BF" w:rsidRDefault="006548BF" w:rsidP="00CC46DA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Tras la proyección: tres lectores</w:t>
      </w:r>
    </w:p>
    <w:p w:rsidR="006548BF" w:rsidRDefault="006548BF" w:rsidP="00CC46DA">
      <w:pPr>
        <w:autoSpaceDE w:val="0"/>
        <w:autoSpaceDN w:val="0"/>
        <w:adjustRightInd w:val="0"/>
        <w:spacing w:after="0" w:line="240" w:lineRule="auto"/>
        <w:jc w:val="both"/>
        <w:rPr>
          <w:rFonts w:ascii="FrugalSans-Bold" w:hAnsi="FrugalSans-Bold" w:cs="FrugalSans-Bold"/>
          <w:b/>
          <w:bCs/>
          <w:color w:val="231F20"/>
        </w:rPr>
      </w:pPr>
      <w:r>
        <w:rPr>
          <w:rFonts w:ascii="FrugalSans-Bold" w:hAnsi="FrugalSans-Bold" w:cs="FrugalSans-Bold"/>
          <w:b/>
          <w:bCs/>
          <w:color w:val="231F20"/>
        </w:rPr>
        <w:t>Lector 1</w:t>
      </w:r>
    </w:p>
    <w:p w:rsidR="006548BF" w:rsidRDefault="006548BF" w:rsidP="00CC46DA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Hoy celebramos que Jesús ha resucitado. Jesús resucitado es como la luz que vence a la oscuridad. El Señor ilumina nuestra vida para que estemos alegres y vivamos sin miedo.</w:t>
      </w:r>
    </w:p>
    <w:p w:rsidR="006548BF" w:rsidRDefault="006548BF" w:rsidP="00CC46DA">
      <w:pPr>
        <w:autoSpaceDE w:val="0"/>
        <w:autoSpaceDN w:val="0"/>
        <w:adjustRightInd w:val="0"/>
        <w:spacing w:after="0" w:line="240" w:lineRule="auto"/>
        <w:jc w:val="both"/>
        <w:rPr>
          <w:rFonts w:ascii="FrugalSans-Bold" w:hAnsi="FrugalSans-Bold" w:cs="FrugalSans-Bold"/>
          <w:b/>
          <w:bCs/>
          <w:color w:val="231F20"/>
        </w:rPr>
      </w:pPr>
      <w:r>
        <w:rPr>
          <w:rFonts w:ascii="FrugalSans-Bold" w:hAnsi="FrugalSans-Bold" w:cs="FrugalSans-Bold"/>
          <w:b/>
          <w:bCs/>
          <w:color w:val="231F20"/>
        </w:rPr>
        <w:t>Lector 2</w:t>
      </w:r>
    </w:p>
    <w:p w:rsidR="006548BF" w:rsidRDefault="006548BF" w:rsidP="00CC46DA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Cuando Jesús resucitó se presentó a sus amigos y amigas. Les deseó la paz y la alegría. Les invitó a contagiar de alegría al mundo entero.</w:t>
      </w:r>
    </w:p>
    <w:p w:rsidR="006548BF" w:rsidRDefault="006548BF" w:rsidP="00CC46DA">
      <w:pPr>
        <w:autoSpaceDE w:val="0"/>
        <w:autoSpaceDN w:val="0"/>
        <w:adjustRightInd w:val="0"/>
        <w:spacing w:after="0" w:line="240" w:lineRule="auto"/>
        <w:jc w:val="both"/>
        <w:rPr>
          <w:rFonts w:ascii="FrugalSans-Bold" w:hAnsi="FrugalSans-Bold" w:cs="FrugalSans-Bold"/>
          <w:b/>
          <w:bCs/>
          <w:color w:val="231F20"/>
        </w:rPr>
      </w:pPr>
      <w:r>
        <w:rPr>
          <w:rFonts w:ascii="FrugalSans-Bold" w:hAnsi="FrugalSans-Bold" w:cs="FrugalSans-Bold"/>
          <w:b/>
          <w:bCs/>
          <w:color w:val="231F20"/>
        </w:rPr>
        <w:t>Lector 3</w:t>
      </w:r>
    </w:p>
    <w:p w:rsidR="006548BF" w:rsidRDefault="006548BF" w:rsidP="00CC46DA">
      <w:pPr>
        <w:autoSpaceDE w:val="0"/>
        <w:autoSpaceDN w:val="0"/>
        <w:adjustRightInd w:val="0"/>
        <w:spacing w:after="0" w:line="240" w:lineRule="auto"/>
        <w:jc w:val="both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Hoy damos gracias a Dios porque Jesús nos ilumina el camino y la vida, invitándonos a construir un mundo mejor en el que haya más cariño, respeto y generosidad.</w:t>
      </w: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jc w:val="both"/>
        <w:rPr>
          <w:rFonts w:ascii="FrugalSans-Bold" w:hAnsi="FrugalSans-Bold" w:cs="FrugalSans-Bold"/>
          <w:b/>
          <w:bCs/>
          <w:sz w:val="26"/>
          <w:szCs w:val="26"/>
        </w:rPr>
      </w:pPr>
    </w:p>
    <w:p w:rsidR="006813F1" w:rsidRPr="006813F1" w:rsidRDefault="006813F1" w:rsidP="006813F1">
      <w:pPr>
        <w:autoSpaceDE w:val="0"/>
        <w:autoSpaceDN w:val="0"/>
        <w:adjustRightInd w:val="0"/>
        <w:spacing w:after="0" w:line="240" w:lineRule="auto"/>
        <w:rPr>
          <w:rFonts w:ascii="FrugalSans-Bold" w:hAnsi="FrugalSans-Bold" w:cs="FrugalSans-Bold"/>
          <w:b/>
          <w:bCs/>
          <w:sz w:val="26"/>
          <w:szCs w:val="26"/>
        </w:rPr>
      </w:pPr>
      <w:r w:rsidRPr="006813F1">
        <w:rPr>
          <w:rFonts w:ascii="FrugalSans-Bold" w:hAnsi="FrugalSans-Bold" w:cs="FrugalSans-Bold"/>
          <w:b/>
          <w:bCs/>
          <w:sz w:val="26"/>
          <w:szCs w:val="26"/>
        </w:rPr>
        <w:t>Tiempo para la expresión</w:t>
      </w:r>
    </w:p>
    <w:p w:rsidR="006813F1" w:rsidRDefault="006813F1" w:rsidP="006813F1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 xml:space="preserve">Durante este tiempo para la expresión manual, </w:t>
      </w:r>
      <w:r w:rsidR="00CC46DA">
        <w:rPr>
          <w:rFonts w:ascii="FrugalSans-Light" w:hAnsi="FrugalSans-Light" w:cs="FrugalSans-Light"/>
          <w:color w:val="231F20"/>
        </w:rPr>
        <w:t xml:space="preserve">cada subgrupo debe construir un </w:t>
      </w:r>
      <w:r>
        <w:rPr>
          <w:rFonts w:ascii="FrugalSans-Light" w:hAnsi="FrugalSans-Light" w:cs="FrugalSans-Light"/>
          <w:color w:val="231F20"/>
        </w:rPr>
        <w:t>sencillo farolillo de</w:t>
      </w:r>
      <w:r w:rsidR="00CC46DA">
        <w:rPr>
          <w:rFonts w:ascii="FrugalSans-Light" w:hAnsi="FrugalSans-Light" w:cs="FrugalSans-Light"/>
          <w:color w:val="231F20"/>
        </w:rPr>
        <w:t xml:space="preserve"> </w:t>
      </w:r>
      <w:r>
        <w:rPr>
          <w:rFonts w:ascii="FrugalSans-Light" w:hAnsi="FrugalSans-Light" w:cs="FrugalSans-Light"/>
          <w:color w:val="231F20"/>
        </w:rPr>
        <w:t>cartulina negra.</w:t>
      </w: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Bold" w:hAnsi="FrugalSans-Bold" w:cs="FrugalSans-Bold"/>
          <w:b/>
          <w:bCs/>
          <w:color w:val="004283"/>
        </w:rPr>
      </w:pP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Bold" w:hAnsi="FrugalSans-Bold" w:cs="FrugalSans-Bold"/>
          <w:b/>
          <w:bCs/>
          <w:color w:val="004283"/>
        </w:rPr>
      </w:pPr>
      <w:r>
        <w:rPr>
          <w:rFonts w:ascii="FrugalSans-Bold" w:hAnsi="FrugalSans-Bold" w:cs="FrugalSans-Bold"/>
          <w:b/>
          <w:bCs/>
          <w:noProof/>
          <w:color w:val="004283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-4445</wp:posOffset>
            </wp:positionV>
            <wp:extent cx="2628900" cy="2714625"/>
            <wp:effectExtent l="19050" t="0" r="0" b="0"/>
            <wp:wrapSquare wrapText="bothSides"/>
            <wp:docPr id="1" name="Imagen 1" descr="Fot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í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ugalSans-Bold" w:hAnsi="FrugalSans-Bold" w:cs="FrugalSans-Bold"/>
          <w:b/>
          <w:bCs/>
          <w:color w:val="004283"/>
        </w:rPr>
        <w:t>Para construir un farolillo</w:t>
      </w: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. Se toma media cartulina negra.</w:t>
      </w: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. Se perfora la cartulina con pequeñas aberturas triangulares, circulares, en forma de rombo... etc. (El tamaño mínimo de los agujeros será como el área de una moneda de 2 euros)</w:t>
      </w: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. Quitados los trozos de cartulina negra de las aberturas, se sustituyen por trozos de papel celofán de colores, pegándolos como si se estuviera construyendo una vidriera.</w:t>
      </w: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. Con la media cartulina negra, trabajada del modo descrito, se hace un cilindro que constituirá el cuerpo del farolillo. En su interior brillará una linterna o una vela.</w:t>
      </w: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· (Ver modelo en la hoja final)</w:t>
      </w: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Bold" w:hAnsi="FrugalSans-Bold" w:cs="FrugalSans-Bold"/>
          <w:b/>
          <w:bCs/>
          <w:color w:val="004283"/>
        </w:rPr>
      </w:pP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Bold" w:hAnsi="FrugalSans-Bold" w:cs="FrugalSans-Bold"/>
          <w:b/>
          <w:bCs/>
          <w:color w:val="004283"/>
        </w:rPr>
      </w:pPr>
      <w:r>
        <w:rPr>
          <w:rFonts w:ascii="FrugalSans-Bold" w:hAnsi="FrugalSans-Bold" w:cs="FrugalSans-Bold"/>
          <w:b/>
          <w:bCs/>
          <w:color w:val="004283"/>
        </w:rPr>
        <w:t>Lugares de Luz</w:t>
      </w:r>
    </w:p>
    <w:p w:rsidR="00CC46DA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Reunidos en torno al farolillo, cada pequeño grupo escribe en un papel aquellos "lugares de Luz" donde brilla la luz de la Vida.</w:t>
      </w:r>
    </w:p>
    <w:p w:rsidR="003A0FA2" w:rsidRDefault="00CC46DA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lastRenderedPageBreak/>
        <w:t>Son situaciones, actividades, actitudes donde se desarrolla el crecimiento de las personas como seres humanos</w:t>
      </w:r>
      <w:r w:rsidR="00955D2C">
        <w:rPr>
          <w:rFonts w:ascii="FrugalSans-Light" w:hAnsi="FrugalSans-Light" w:cs="FrugalSans-Light"/>
          <w:color w:val="231F20"/>
        </w:rPr>
        <w:t>, donde aflora la vida</w:t>
      </w:r>
    </w:p>
    <w:p w:rsidR="003A0FA2" w:rsidRDefault="003A0FA2" w:rsidP="003A0FA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Cuando se ha elaborado la lista de los "lugares de Luz", cada grupo leerá su papel en torno a los farolillos iluminados.</w:t>
      </w:r>
    </w:p>
    <w:p w:rsidR="00B31E94" w:rsidRDefault="00B31E94" w:rsidP="003A0FA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</w:p>
    <w:p w:rsidR="00B31E94" w:rsidRDefault="00B31E94" w:rsidP="003A0FA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 w:rsidRPr="00B31E94">
        <w:rPr>
          <w:rFonts w:ascii="FrugalSans-Light" w:hAnsi="FrugalSans-Light" w:cs="FrugalSans-Light"/>
          <w:b/>
          <w:color w:val="231F20"/>
        </w:rPr>
        <w:t>Celebramos la vida:</w:t>
      </w:r>
      <w:r>
        <w:rPr>
          <w:rFonts w:ascii="FrugalSans-Light" w:hAnsi="FrugalSans-Light" w:cs="FrugalSans-Light"/>
          <w:color w:val="231F20"/>
        </w:rPr>
        <w:t xml:space="preserve"> canción </w:t>
      </w:r>
      <w:r w:rsidR="005247B4">
        <w:rPr>
          <w:rFonts w:ascii="FrugalSans-Light" w:hAnsi="FrugalSans-Light" w:cs="FrugalSans-Light"/>
          <w:color w:val="231F20"/>
        </w:rPr>
        <w:t>C</w:t>
      </w:r>
      <w:r>
        <w:rPr>
          <w:rFonts w:ascii="FrugalSans-Light" w:hAnsi="FrugalSans-Light" w:cs="FrugalSans-Light"/>
          <w:color w:val="231F20"/>
        </w:rPr>
        <w:t xml:space="preserve">elebra la </w:t>
      </w:r>
      <w:r w:rsidR="005247B4">
        <w:rPr>
          <w:rFonts w:ascii="FrugalSans-Light" w:hAnsi="FrugalSans-Light" w:cs="FrugalSans-Light"/>
          <w:color w:val="231F20"/>
        </w:rPr>
        <w:t>V</w:t>
      </w:r>
      <w:r>
        <w:rPr>
          <w:rFonts w:ascii="FrugalSans-Light" w:hAnsi="FrugalSans-Light" w:cs="FrugalSans-Light"/>
          <w:color w:val="231F20"/>
        </w:rPr>
        <w:t>ida</w:t>
      </w:r>
    </w:p>
    <w:p w:rsidR="00B31E94" w:rsidRDefault="00B31E94" w:rsidP="003A0FA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</w:p>
    <w:p w:rsidR="00B31E94" w:rsidRDefault="00B31E94" w:rsidP="003A0FA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bookmarkStart w:id="0" w:name="_GoBack"/>
      <w:bookmarkEnd w:id="0"/>
    </w:p>
    <w:p w:rsidR="00B31E94" w:rsidRDefault="00B31E94" w:rsidP="003A0FA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</w:p>
    <w:p w:rsidR="00B31E94" w:rsidRDefault="00B31E94" w:rsidP="003A0FA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</w:p>
    <w:p w:rsidR="00B31E94" w:rsidRDefault="00B31E94" w:rsidP="003A0FA2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</w:p>
    <w:p w:rsidR="003A0FA2" w:rsidRDefault="003A0FA2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</w:p>
    <w:p w:rsidR="003A0FA2" w:rsidRDefault="003A0FA2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color w:val="231F20"/>
        </w:rPr>
        <w:t>Modelo de cartulina extendida con cenefas de color</w:t>
      </w:r>
    </w:p>
    <w:p w:rsidR="003A0FA2" w:rsidRDefault="003A0FA2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</w:p>
    <w:p w:rsidR="00CC46DA" w:rsidRDefault="003A0FA2" w:rsidP="00CC46DA">
      <w:pPr>
        <w:autoSpaceDE w:val="0"/>
        <w:autoSpaceDN w:val="0"/>
        <w:adjustRightInd w:val="0"/>
        <w:spacing w:after="0" w:line="240" w:lineRule="auto"/>
        <w:rPr>
          <w:rFonts w:ascii="FrugalSans-Light" w:hAnsi="FrugalSans-Light" w:cs="FrugalSans-Light"/>
          <w:color w:val="231F20"/>
        </w:rPr>
      </w:pPr>
      <w:r>
        <w:rPr>
          <w:rFonts w:ascii="FrugalSans-Light" w:hAnsi="FrugalSans-Light" w:cs="FrugalSans-Light"/>
          <w:noProof/>
          <w:color w:val="231F20"/>
          <w:lang w:eastAsia="es-ES"/>
        </w:rPr>
        <w:drawing>
          <wp:inline distT="0" distB="0" distL="0" distR="0">
            <wp:extent cx="5400040" cy="3123343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D2C">
        <w:rPr>
          <w:rFonts w:ascii="FrugalSans-Light" w:hAnsi="FrugalSans-Light" w:cs="FrugalSans-Light"/>
          <w:color w:val="231F20"/>
        </w:rPr>
        <w:t>.</w:t>
      </w:r>
    </w:p>
    <w:sectPr w:rsidR="00CC46DA" w:rsidSect="005F7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ga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16D1"/>
    <w:rsid w:val="001516D1"/>
    <w:rsid w:val="003A0FA2"/>
    <w:rsid w:val="004E495E"/>
    <w:rsid w:val="005247B4"/>
    <w:rsid w:val="005F77D0"/>
    <w:rsid w:val="00624EF9"/>
    <w:rsid w:val="006548BF"/>
    <w:rsid w:val="006813F1"/>
    <w:rsid w:val="0092694E"/>
    <w:rsid w:val="00955D2C"/>
    <w:rsid w:val="00A807B2"/>
    <w:rsid w:val="00B31E94"/>
    <w:rsid w:val="00C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5630D-3434-4039-8F9E-02B7228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BCFD-F4EC-481F-BA10-F0C375EB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PASTORAL</cp:lastModifiedBy>
  <cp:revision>8</cp:revision>
  <dcterms:created xsi:type="dcterms:W3CDTF">2015-03-08T07:12:00Z</dcterms:created>
  <dcterms:modified xsi:type="dcterms:W3CDTF">2015-03-09T17:12:00Z</dcterms:modified>
</cp:coreProperties>
</file>